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0CBFAF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大学生创新创业训练智能管理系统</w:t>
      </w:r>
    </w:p>
    <w:p w14:paraId="09567BE5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教师使用说明书</w:t>
      </w:r>
    </w:p>
    <w:p w14:paraId="262C5138">
      <w:pPr>
        <w:jc w:val="center"/>
      </w:pPr>
      <w:r>
        <w:rPr>
          <w:rFonts w:hint="eastAsia" w:ascii="隶书" w:eastAsia="隶书"/>
          <w:sz w:val="52"/>
          <w:szCs w:val="52"/>
        </w:rPr>
        <w:t>目 录</w:t>
      </w:r>
      <w:r>
        <w:rPr>
          <w:sz w:val="22"/>
          <w:szCs w:val="21"/>
        </w:rPr>
        <w:fldChar w:fldCharType="begin"/>
      </w:r>
      <w:r>
        <w:rPr>
          <w:sz w:val="22"/>
          <w:szCs w:val="21"/>
        </w:rPr>
        <w:instrText xml:space="preserve"> TOC \o "1-3" \h \z \u </w:instrText>
      </w:r>
      <w:r>
        <w:rPr>
          <w:sz w:val="22"/>
          <w:szCs w:val="21"/>
        </w:rPr>
        <w:fldChar w:fldCharType="separate"/>
      </w:r>
    </w:p>
    <w:p w14:paraId="376779CD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_Toc30496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一</w:t>
      </w:r>
      <w:r>
        <w:rPr>
          <w:rFonts w:hint="eastAsia"/>
        </w:rPr>
        <w:t>、立项</w:t>
      </w:r>
      <w:r>
        <w:rPr>
          <w:rFonts w:hint="eastAsia"/>
          <w:lang w:val="en-US" w:eastAsia="zh-CN"/>
        </w:rPr>
        <w:t>管理</w:t>
      </w:r>
      <w:r>
        <w:tab/>
      </w:r>
      <w:r>
        <w:fldChar w:fldCharType="begin"/>
      </w:r>
      <w:r>
        <w:instrText xml:space="preserve"> PAGEREF _Toc30496 \h </w:instrText>
      </w:r>
      <w:r>
        <w:fldChar w:fldCharType="separate"/>
      </w:r>
      <w:r>
        <w:t>3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1FC61C23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_Toc10234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、中期管理</w:t>
      </w:r>
      <w:r>
        <w:tab/>
      </w:r>
      <w:r>
        <w:fldChar w:fldCharType="begin"/>
      </w:r>
      <w:r>
        <w:instrText xml:space="preserve"> PAGEREF _Toc10234 \h </w:instrText>
      </w:r>
      <w:r>
        <w:fldChar w:fldCharType="separate"/>
      </w:r>
      <w:r>
        <w:t>6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297B33C8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_Toc28647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</w:t>
      </w:r>
      <w:r>
        <w:rPr>
          <w:rFonts w:hint="eastAsia"/>
          <w:lang w:val="en-US" w:eastAsia="zh-CN"/>
        </w:rPr>
        <w:t>一</w:t>
      </w:r>
      <w:r>
        <w:rPr>
          <w:rFonts w:hint="eastAsia"/>
        </w:rPr>
        <w:t>）审核中期检查</w:t>
      </w:r>
      <w:r>
        <w:tab/>
      </w:r>
      <w:r>
        <w:fldChar w:fldCharType="begin"/>
      </w:r>
      <w:r>
        <w:instrText xml:space="preserve"> PAGEREF _Toc28647 \h </w:instrText>
      </w:r>
      <w:r>
        <w:fldChar w:fldCharType="separate"/>
      </w:r>
      <w:r>
        <w:t>7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0773A89F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_Toc27008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三</w:t>
      </w:r>
      <w:r>
        <w:rPr>
          <w:rFonts w:hint="eastAsia"/>
        </w:rPr>
        <w:t>、结题管理</w:t>
      </w:r>
      <w:r>
        <w:tab/>
      </w:r>
      <w:r>
        <w:fldChar w:fldCharType="begin"/>
      </w:r>
      <w:r>
        <w:instrText xml:space="preserve"> PAGEREF _Toc27008 \h </w:instrText>
      </w:r>
      <w:r>
        <w:fldChar w:fldCharType="separate"/>
      </w:r>
      <w:r>
        <w:t>8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723836FC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_Toc19750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（一）审核结题报告</w:t>
      </w:r>
      <w:r>
        <w:tab/>
      </w:r>
      <w:r>
        <w:fldChar w:fldCharType="begin"/>
      </w:r>
      <w:r>
        <w:instrText xml:space="preserve"> PAGEREF _Toc19750 \h </w:instrText>
      </w:r>
      <w:r>
        <w:fldChar w:fldCharType="separate"/>
      </w:r>
      <w:r>
        <w:t>8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20FF028E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_Toc16909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四</w:t>
      </w:r>
      <w:r>
        <w:rPr>
          <w:rFonts w:hint="eastAsia"/>
        </w:rPr>
        <w:t>、项目</w:t>
      </w:r>
      <w:r>
        <w:rPr>
          <w:rFonts w:hint="eastAsia"/>
          <w:lang w:val="en-US" w:eastAsia="zh-CN"/>
        </w:rPr>
        <w:t>成果</w:t>
      </w:r>
      <w:r>
        <w:rPr>
          <w:rFonts w:hint="eastAsia"/>
        </w:rPr>
        <w:t>管理</w:t>
      </w:r>
      <w:r>
        <w:tab/>
      </w:r>
      <w:r>
        <w:fldChar w:fldCharType="begin"/>
      </w:r>
      <w:r>
        <w:instrText xml:space="preserve"> PAGEREF _Toc16909 \h </w:instrText>
      </w:r>
      <w:r>
        <w:fldChar w:fldCharType="separate"/>
      </w:r>
      <w:r>
        <w:t>9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50467095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_Toc4161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bCs/>
          <w:szCs w:val="22"/>
          <w:lang w:val="en-US" w:eastAsia="zh-CN"/>
        </w:rPr>
        <w:t>五</w:t>
      </w:r>
      <w:r>
        <w:rPr>
          <w:rFonts w:hint="eastAsia"/>
        </w:rPr>
        <w:t>、项目异动管理</w:t>
      </w:r>
      <w:r>
        <w:tab/>
      </w:r>
      <w:r>
        <w:fldChar w:fldCharType="begin"/>
      </w:r>
      <w:r>
        <w:instrText xml:space="preserve"> PAGEREF _Toc4161 \h </w:instrText>
      </w:r>
      <w:r>
        <w:fldChar w:fldCharType="separate"/>
      </w:r>
      <w:r>
        <w:t>10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3726F5FE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_Toc14752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（一）指导教师审核项目变更</w:t>
      </w:r>
      <w:r>
        <w:tab/>
      </w:r>
      <w:r>
        <w:fldChar w:fldCharType="begin"/>
      </w:r>
      <w:r>
        <w:instrText xml:space="preserve"> PAGEREF _Toc14752 \h </w:instrText>
      </w:r>
      <w:r>
        <w:fldChar w:fldCharType="separate"/>
      </w:r>
      <w:r>
        <w:t>10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59A97EC8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_Toc29056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（二）指导教师审核项目延期</w:t>
      </w:r>
      <w:r>
        <w:tab/>
      </w:r>
      <w:r>
        <w:fldChar w:fldCharType="begin"/>
      </w:r>
      <w:r>
        <w:instrText xml:space="preserve"> PAGEREF _Toc29056 \h </w:instrText>
      </w:r>
      <w:r>
        <w:fldChar w:fldCharType="separate"/>
      </w:r>
      <w:r>
        <w:t>11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60CF86B7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_Toc7701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（三）指导教师审核项目终止</w:t>
      </w:r>
      <w:r>
        <w:tab/>
      </w:r>
      <w:r>
        <w:fldChar w:fldCharType="begin"/>
      </w:r>
      <w:r>
        <w:instrText xml:space="preserve"> PAGEREF _Toc7701 \h </w:instrText>
      </w:r>
      <w:r>
        <w:fldChar w:fldCharType="separate"/>
      </w:r>
      <w:r>
        <w:t>12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54555A05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_Toc2854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六</w:t>
      </w:r>
      <w:r>
        <w:rPr>
          <w:rFonts w:hint="eastAsia"/>
        </w:rPr>
        <w:t>、个人中心</w:t>
      </w:r>
      <w:r>
        <w:tab/>
      </w:r>
      <w:r>
        <w:fldChar w:fldCharType="begin"/>
      </w:r>
      <w:r>
        <w:instrText xml:space="preserve"> PAGEREF _Toc2854 \h </w:instrText>
      </w:r>
      <w:r>
        <w:fldChar w:fldCharType="separate"/>
      </w:r>
      <w:r>
        <w:t>13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2115CB1C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_Toc23858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（一）通用</w:t>
      </w:r>
      <w:r>
        <w:tab/>
      </w:r>
      <w:r>
        <w:fldChar w:fldCharType="begin"/>
      </w:r>
      <w:r>
        <w:instrText xml:space="preserve"> PAGEREF _Toc23858 \h </w:instrText>
      </w:r>
      <w:r>
        <w:fldChar w:fldCharType="separate"/>
      </w:r>
      <w:r>
        <w:t>13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4A73BEED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_Toc1606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（二）站内信</w:t>
      </w:r>
      <w:r>
        <w:tab/>
      </w:r>
      <w:r>
        <w:fldChar w:fldCharType="begin"/>
      </w:r>
      <w:r>
        <w:instrText xml:space="preserve"> PAGEREF _Toc1606 \h </w:instrText>
      </w:r>
      <w:r>
        <w:fldChar w:fldCharType="separate"/>
      </w:r>
      <w:r>
        <w:t>14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2B0B55FD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_Toc11416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（三）文件中心</w:t>
      </w:r>
      <w:r>
        <w:tab/>
      </w:r>
      <w:r>
        <w:fldChar w:fldCharType="begin"/>
      </w:r>
      <w:r>
        <w:instrText xml:space="preserve"> PAGEREF _Toc11416 \h </w:instrText>
      </w:r>
      <w:r>
        <w:fldChar w:fldCharType="separate"/>
      </w:r>
      <w:r>
        <w:t>16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7147C1B1">
      <w:r>
        <w:rPr>
          <w:bCs/>
          <w:szCs w:val="22"/>
          <w:lang w:val="zh-CN"/>
        </w:rPr>
        <w:fldChar w:fldCharType="end"/>
      </w:r>
    </w:p>
    <w:p w14:paraId="1EE578B7">
      <w:pPr>
        <w:pStyle w:val="2"/>
        <w:ind w:firstLine="187" w:firstLineChars="62"/>
        <w:rPr>
          <w:rFonts w:hint="eastAsia" w:eastAsia="宋体"/>
          <w:lang w:val="en-US" w:eastAsia="zh-CN"/>
        </w:rPr>
      </w:pPr>
      <w:bookmarkStart w:id="0" w:name="_Toc30496"/>
      <w:bookmarkStart w:id="1" w:name="二、项目审核部分"/>
      <w:bookmarkStart w:id="2" w:name="一、项目申报部分"/>
      <w:r>
        <w:rPr>
          <w:rFonts w:hint="eastAsia"/>
          <w:lang w:val="en-US" w:eastAsia="zh-CN"/>
        </w:rPr>
        <w:t>一</w:t>
      </w:r>
      <w:r>
        <w:rPr>
          <w:rFonts w:hint="eastAsia"/>
        </w:rPr>
        <w:t>、立项</w:t>
      </w:r>
      <w:r>
        <w:rPr>
          <w:rFonts w:hint="eastAsia"/>
          <w:lang w:val="en-US" w:eastAsia="zh-CN"/>
        </w:rPr>
        <w:t>管理</w:t>
      </w:r>
      <w:bookmarkEnd w:id="0"/>
    </w:p>
    <w:bookmarkEnd w:id="1"/>
    <w:bookmarkEnd w:id="2"/>
    <w:p w14:paraId="076A4350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指导教师登录系统后，点击立项管理</w:t>
      </w:r>
      <w:r>
        <w:rPr>
          <w:sz w:val="28"/>
          <w:szCs w:val="28"/>
        </w:rPr>
        <w:t>—</w:t>
      </w:r>
      <w:r>
        <w:rPr>
          <w:rFonts w:hint="eastAsia"/>
          <w:sz w:val="28"/>
          <w:szCs w:val="28"/>
        </w:rPr>
        <w:t>指导教师审核项目菜单后，在页面上教师可查看待审核的项目，点击页面上数据列表“操作”字段中</w:t>
      </w:r>
      <w:r>
        <w:drawing>
          <wp:inline distT="0" distB="0" distL="0" distR="0">
            <wp:extent cx="276225" cy="257175"/>
            <wp:effectExtent l="0" t="0" r="9525" b="952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按钮进入审核页面。如下图所示：</w:t>
      </w:r>
    </w:p>
    <w:p w14:paraId="59FC4D87">
      <w:pPr>
        <w:jc w:val="center"/>
      </w:pPr>
      <w:r>
        <w:drawing>
          <wp:inline distT="0" distB="0" distL="114300" distR="114300">
            <wp:extent cx="6109335" cy="2404110"/>
            <wp:effectExtent l="0" t="0" r="5715" b="1524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240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0544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2、指导教师点击审核进入审核页面后，选择审核状态（并填写审核意见）后点击提交即指导教师审核项目完成，如下图所示：</w:t>
      </w:r>
    </w:p>
    <w:p w14:paraId="26B1BF9E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12510" cy="2217420"/>
            <wp:effectExtent l="0" t="0" r="2540" b="1143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251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ACE31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2EBE78FD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（1）指导教师审核项目，审核通过，可联系或提醒学院管理员进行审核；</w:t>
      </w:r>
    </w:p>
    <w:p w14:paraId="74027153">
      <w:pPr>
        <w:ind w:firstLine="560" w:firstLineChars="200"/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t>（2）指导教师审核项目，退回修改，该项目退回至项目负责人，您可联系或者提醒项目负责人进行修改，项目成员不可修改项目申报书。</w:t>
      </w:r>
    </w:p>
    <w:p w14:paraId="5B5FED4B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）指导教师审核项目，终止申报，该项目终止，项目负责人无法继续申报该项目。</w:t>
      </w:r>
    </w:p>
    <w:p w14:paraId="1965613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bookmarkStart w:id="3" w:name="三、中期检查审核部分"/>
    </w:p>
    <w:p w14:paraId="113277A3">
      <w:pPr>
        <w:pStyle w:val="2"/>
        <w:ind w:firstLine="187" w:firstLineChars="62"/>
      </w:pPr>
      <w:bookmarkStart w:id="4" w:name="_Toc10234"/>
      <w:r>
        <w:rPr>
          <w:rFonts w:hint="eastAsia"/>
          <w:lang w:val="en-US" w:eastAsia="zh-CN"/>
        </w:rPr>
        <w:t>二</w:t>
      </w:r>
      <w:r>
        <w:rPr>
          <w:rFonts w:hint="eastAsia"/>
        </w:rPr>
        <w:t>、中期管理</w:t>
      </w:r>
      <w:bookmarkEnd w:id="4"/>
    </w:p>
    <w:p w14:paraId="7D55317E">
      <w:pPr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t>项目中期检查审核部分包含周进展审核和中期检查审核。</w:t>
      </w:r>
      <w:bookmarkEnd w:id="3"/>
    </w:p>
    <w:p w14:paraId="145A5764">
      <w:pPr>
        <w:pStyle w:val="4"/>
        <w:numPr>
          <w:ilvl w:val="0"/>
          <w:numId w:val="0"/>
        </w:numPr>
      </w:pPr>
      <w:bookmarkStart w:id="5" w:name="_Toc5673"/>
      <w:r>
        <w:rPr>
          <w:rFonts w:hint="eastAsia"/>
        </w:rPr>
        <w:t>（一）审核周进展</w:t>
      </w:r>
      <w:bookmarkEnd w:id="5"/>
    </w:p>
    <w:p w14:paraId="4C68E934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、学生提交中期检查后，指导教师登录系统点击中期管理---周进展管理---指导教师审核周进展菜单，页面上可查看项目信息及周进展的状态，点击数据列表“操作”字段中</w:t>
      </w:r>
      <w:r>
        <w:drawing>
          <wp:inline distT="0" distB="0" distL="0" distR="0">
            <wp:extent cx="276225" cy="257175"/>
            <wp:effectExtent l="0" t="0" r="9525" b="952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按钮进入审核页面，如下图所示：</w:t>
      </w:r>
    </w:p>
    <w:p w14:paraId="19914B73">
      <w:pPr>
        <w:jc w:val="center"/>
      </w:pPr>
      <w:r>
        <w:drawing>
          <wp:inline distT="0" distB="0" distL="114300" distR="114300">
            <wp:extent cx="6112510" cy="2402205"/>
            <wp:effectExtent l="0" t="0" r="2540" b="17145"/>
            <wp:docPr id="2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2510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5D5E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2、指导教师点击审核进入审核页面后，选择审核状态（并填写审核意见）后点击提交即指导教师审核项目完成，如下图所示：</w:t>
      </w:r>
    </w:p>
    <w:p w14:paraId="41760990">
      <w:pPr>
        <w:pStyle w:val="3"/>
        <w:ind w:firstLine="0" w:firstLineChars="0"/>
        <w:jc w:val="center"/>
      </w:pPr>
      <w:r>
        <w:drawing>
          <wp:inline distT="0" distB="0" distL="114300" distR="114300">
            <wp:extent cx="6118860" cy="2390140"/>
            <wp:effectExtent l="0" t="0" r="15240" b="10160"/>
            <wp:docPr id="2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39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31556">
      <w:pPr>
        <w:pStyle w:val="4"/>
        <w:numPr>
          <w:ilvl w:val="0"/>
          <w:numId w:val="0"/>
        </w:numPr>
      </w:pPr>
      <w:bookmarkStart w:id="6" w:name="_Toc28647"/>
      <w:r>
        <w:rPr>
          <w:rFonts w:hint="eastAsia"/>
        </w:rPr>
        <w:t>（二）审核中期检查</w:t>
      </w:r>
      <w:bookmarkEnd w:id="6"/>
    </w:p>
    <w:p w14:paraId="0244F612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、学生提交中期检查后，指导教师登录系统点击中期管理---中期检查管理---指导教师审核菜单，页面上可查看项目信息及中期检查的状态，点击数据列表“操作”字段中</w:t>
      </w:r>
      <w:r>
        <w:drawing>
          <wp:inline distT="0" distB="0" distL="0" distR="0">
            <wp:extent cx="276225" cy="257175"/>
            <wp:effectExtent l="0" t="0" r="9525" b="952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按钮进入审核页面，如下图所示：</w:t>
      </w:r>
    </w:p>
    <w:p w14:paraId="347AC769">
      <w:pPr>
        <w:jc w:val="center"/>
      </w:pPr>
      <w:r>
        <w:drawing>
          <wp:inline distT="0" distB="0" distL="114300" distR="114300">
            <wp:extent cx="6109335" cy="2399665"/>
            <wp:effectExtent l="0" t="0" r="5715" b="635"/>
            <wp:docPr id="2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CE64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2、中期检查审核页面可查看该项目中期检查详细信息，逐项填写并提交即指导教师审核中期检查完成，如下图所示：</w:t>
      </w:r>
    </w:p>
    <w:p w14:paraId="039CDC89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09970" cy="2404110"/>
            <wp:effectExtent l="0" t="0" r="5080" b="15240"/>
            <wp:docPr id="3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09970" cy="240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235E6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0F067AE2">
      <w:pPr>
        <w:ind w:left="105" w:leftChars="50"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（1）指导教师审核中期检查，审核通过，您可以联系或者提醒院系管理员进行审核。</w:t>
      </w:r>
    </w:p>
    <w:p w14:paraId="40F3DEB6">
      <w:pPr>
        <w:ind w:left="105" w:leftChars="50"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（2）指导教师审核中期检查，审核退回，项目中期检查退回至项目主持人，您可以联系或者提醒项目负责人进行修改。</w:t>
      </w:r>
    </w:p>
    <w:p w14:paraId="5BDBB20E">
      <w:pPr>
        <w:pStyle w:val="2"/>
        <w:ind w:firstLine="187" w:firstLineChars="62"/>
      </w:pPr>
      <w:bookmarkStart w:id="7" w:name="_Toc27008"/>
      <w:r>
        <w:rPr>
          <w:rFonts w:hint="eastAsia"/>
          <w:lang w:val="en-US" w:eastAsia="zh-CN"/>
        </w:rPr>
        <w:t>三</w:t>
      </w:r>
      <w:r>
        <w:rPr>
          <w:rFonts w:hint="eastAsia"/>
        </w:rPr>
        <w:t>、结题管理</w:t>
      </w:r>
      <w:bookmarkEnd w:id="7"/>
    </w:p>
    <w:p w14:paraId="599C3794">
      <w:pPr>
        <w:pStyle w:val="4"/>
        <w:numPr>
          <w:ilvl w:val="0"/>
          <w:numId w:val="0"/>
        </w:numPr>
      </w:pPr>
      <w:bookmarkStart w:id="8" w:name="_Toc19750"/>
      <w:r>
        <w:rPr>
          <w:rFonts w:hint="eastAsia"/>
        </w:rPr>
        <w:t>（一）审核结题报告</w:t>
      </w:r>
      <w:bookmarkEnd w:id="8"/>
    </w:p>
    <w:p w14:paraId="094768E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1、指导教师点击结题管理---指导教师审核菜单，可查看自己所指导项目的结题报告信息，页面中点击项目名称可查看项目详细信息，点击数据列表“操作”字段中</w:t>
      </w:r>
      <w:r>
        <w:drawing>
          <wp:inline distT="0" distB="0" distL="0" distR="0">
            <wp:extent cx="276225" cy="25717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按钮进入审核页面</w:t>
      </w:r>
      <w:r>
        <w:rPr>
          <w:rFonts w:hint="eastAsia"/>
        </w:rPr>
        <w:t>，</w:t>
      </w:r>
      <w:r>
        <w:rPr>
          <w:rFonts w:hint="eastAsia"/>
          <w:sz w:val="28"/>
          <w:szCs w:val="28"/>
        </w:rPr>
        <w:t>如下图所示：</w:t>
      </w:r>
    </w:p>
    <w:p w14:paraId="3A29BEE8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14415" cy="2376805"/>
            <wp:effectExtent l="0" t="0" r="63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237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215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2、结题审核页面可查看该项目结题报告详细信息，逐项填写并提交即指导教师审核结题报告完成，如下图所示：</w:t>
      </w:r>
    </w:p>
    <w:p w14:paraId="0DA13E1A">
      <w:pPr>
        <w:jc w:val="center"/>
      </w:pPr>
      <w:r>
        <w:drawing>
          <wp:inline distT="0" distB="0" distL="114300" distR="114300">
            <wp:extent cx="6118860" cy="2262505"/>
            <wp:effectExtent l="0" t="0" r="15240" b="444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26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84781">
      <w:pPr>
        <w:pStyle w:val="2"/>
        <w:numPr>
          <w:ilvl w:val="0"/>
          <w:numId w:val="0"/>
        </w:numPr>
        <w:ind w:firstLine="187" w:firstLineChars="62"/>
        <w:rPr>
          <w:rFonts w:hint="eastAsia"/>
        </w:rPr>
      </w:pPr>
      <w:bookmarkStart w:id="9" w:name="_Toc16909"/>
      <w:r>
        <w:rPr>
          <w:rFonts w:hint="eastAsia" w:cs="Times New Roman"/>
          <w:b/>
          <w:kern w:val="52"/>
          <w:sz w:val="30"/>
          <w:szCs w:val="32"/>
          <w:lang w:val="en-US" w:eastAsia="zh-CN" w:bidi="ar-SA"/>
        </w:rPr>
        <w:t>四</w:t>
      </w:r>
      <w:r>
        <w:rPr>
          <w:rFonts w:hint="eastAsia" w:ascii="等线" w:hAnsi="等线" w:eastAsia="宋体" w:cs="Times New Roman"/>
          <w:b/>
          <w:kern w:val="52"/>
          <w:sz w:val="30"/>
          <w:szCs w:val="32"/>
          <w:lang w:val="en-US" w:eastAsia="zh-CN" w:bidi="ar-SA"/>
        </w:rPr>
        <w:t>、</w:t>
      </w:r>
      <w:r>
        <w:rPr>
          <w:rFonts w:hint="eastAsia"/>
        </w:rPr>
        <w:t>项目</w:t>
      </w:r>
      <w:r>
        <w:rPr>
          <w:rFonts w:hint="eastAsia"/>
          <w:lang w:val="en-US" w:eastAsia="zh-CN"/>
        </w:rPr>
        <w:t>成果</w:t>
      </w:r>
      <w:r>
        <w:rPr>
          <w:rFonts w:hint="eastAsia"/>
        </w:rPr>
        <w:t>管理</w:t>
      </w:r>
      <w:bookmarkEnd w:id="9"/>
    </w:p>
    <w:p w14:paraId="098B272A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学生提交项目成果后，</w:t>
      </w:r>
      <w:r>
        <w:rPr>
          <w:rFonts w:hint="eastAsia"/>
          <w:sz w:val="28"/>
          <w:szCs w:val="28"/>
        </w:rPr>
        <w:t>指导教师可以</w:t>
      </w:r>
      <w:r>
        <w:rPr>
          <w:rFonts w:hint="eastAsia"/>
          <w:sz w:val="28"/>
          <w:szCs w:val="28"/>
          <w:lang w:val="en-US" w:eastAsia="zh-CN"/>
        </w:rPr>
        <w:t>在项目成果管理---教师审核项目成果中</w:t>
      </w:r>
      <w:r>
        <w:rPr>
          <w:rFonts w:hint="eastAsia"/>
          <w:sz w:val="28"/>
          <w:szCs w:val="28"/>
        </w:rPr>
        <w:t>查看并审核，点击项目列表操作字段下的“审核”按钮，进入审核页面，提交审核</w:t>
      </w:r>
      <w:r>
        <w:rPr>
          <w:rFonts w:hint="eastAsia"/>
          <w:sz w:val="28"/>
          <w:szCs w:val="28"/>
          <w:lang w:val="en-US" w:eastAsia="zh-CN"/>
        </w:rPr>
        <w:t>状态和审核意见</w:t>
      </w:r>
      <w:r>
        <w:rPr>
          <w:rFonts w:hint="eastAsia"/>
          <w:sz w:val="28"/>
          <w:szCs w:val="28"/>
        </w:rPr>
        <w:t>。支持批量审核</w:t>
      </w:r>
      <w:r>
        <w:rPr>
          <w:rFonts w:hint="eastAsia"/>
          <w:sz w:val="28"/>
          <w:szCs w:val="28"/>
          <w:lang w:val="en-US" w:eastAsia="zh-CN"/>
        </w:rPr>
        <w:t>和取消审核</w:t>
      </w:r>
      <w:r>
        <w:rPr>
          <w:rFonts w:hint="eastAsia"/>
          <w:sz w:val="28"/>
          <w:szCs w:val="28"/>
        </w:rPr>
        <w:t>。如下图</w:t>
      </w:r>
      <w:r>
        <w:rPr>
          <w:rFonts w:hint="eastAsia"/>
          <w:sz w:val="28"/>
          <w:szCs w:val="28"/>
          <w:lang w:val="en-US" w:eastAsia="zh-CN"/>
        </w:rPr>
        <w:t>所示</w:t>
      </w:r>
      <w:r>
        <w:rPr>
          <w:rFonts w:hint="eastAsia"/>
          <w:sz w:val="28"/>
          <w:szCs w:val="28"/>
        </w:rPr>
        <w:t>：</w:t>
      </w:r>
    </w:p>
    <w:p w14:paraId="38F96570">
      <w:pPr>
        <w:pStyle w:val="3"/>
      </w:pPr>
      <w:r>
        <w:drawing>
          <wp:inline distT="0" distB="0" distL="114300" distR="114300">
            <wp:extent cx="6112510" cy="2244725"/>
            <wp:effectExtent l="0" t="0" r="2540" b="3175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12510" cy="224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8DE7D">
      <w:pPr>
        <w:pStyle w:val="3"/>
        <w:rPr>
          <w:rFonts w:hint="eastAsia"/>
        </w:rPr>
      </w:pPr>
      <w:r>
        <w:drawing>
          <wp:inline distT="0" distB="0" distL="114300" distR="114300">
            <wp:extent cx="6109970" cy="2240280"/>
            <wp:effectExtent l="0" t="0" r="5080" b="7620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09970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6DAEF">
      <w:pPr>
        <w:pStyle w:val="2"/>
        <w:ind w:firstLine="187" w:firstLineChars="62"/>
      </w:pPr>
      <w:bookmarkStart w:id="10" w:name="_Toc4161"/>
      <w:r>
        <w:rPr>
          <w:rFonts w:hint="eastAsia"/>
          <w:lang w:val="en-US" w:eastAsia="zh-CN"/>
        </w:rPr>
        <w:t>五</w:t>
      </w:r>
      <w:r>
        <w:rPr>
          <w:rFonts w:hint="eastAsia"/>
        </w:rPr>
        <w:t>、项目异动管理</w:t>
      </w:r>
      <w:bookmarkEnd w:id="10"/>
    </w:p>
    <w:p w14:paraId="42E44CF3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项目异动管理，分为指导教师审核项目变更、延期、终止申请。</w:t>
      </w:r>
    </w:p>
    <w:p w14:paraId="1BD9ECB7">
      <w:pPr>
        <w:pStyle w:val="4"/>
        <w:numPr>
          <w:ilvl w:val="0"/>
          <w:numId w:val="0"/>
        </w:numPr>
      </w:pPr>
      <w:bookmarkStart w:id="11" w:name="_Toc58432275"/>
      <w:bookmarkStart w:id="12" w:name="_Toc14752"/>
      <w:r>
        <w:rPr>
          <w:rFonts w:hint="eastAsia"/>
        </w:rPr>
        <w:t>（一）指导教师审核项目变更</w:t>
      </w:r>
      <w:bookmarkEnd w:id="11"/>
      <w:bookmarkEnd w:id="12"/>
    </w:p>
    <w:p w14:paraId="30DABEED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指导教师可以查看并审核所有自己所指导的项目的变更申请，点击项目列表操作字段下的“审核”按钮，进入审核页面，提交审核结论（分“审核通过”、“退回修改”</w:t>
      </w:r>
      <w:r>
        <w:rPr>
          <w:rFonts w:hint="eastAsia"/>
          <w:sz w:val="28"/>
          <w:szCs w:val="28"/>
          <w:lang w:val="en-US" w:eastAsia="zh-CN"/>
        </w:rPr>
        <w:t>和“审核不通过”</w:t>
      </w:r>
      <w:r>
        <w:rPr>
          <w:rFonts w:hint="eastAsia"/>
          <w:sz w:val="28"/>
          <w:szCs w:val="28"/>
        </w:rPr>
        <w:t>））。支持批量审核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color w:val="FF0000"/>
          <w:sz w:val="28"/>
          <w:szCs w:val="28"/>
          <w:lang w:val="en-US" w:eastAsia="zh-CN"/>
        </w:rPr>
        <w:t>注意批量审核前，需要先在上方选择批次，分批次审核</w:t>
      </w:r>
      <w:r>
        <w:rPr>
          <w:rFonts w:hint="eastAsia"/>
          <w:sz w:val="28"/>
          <w:szCs w:val="28"/>
        </w:rPr>
        <w:t>。如下图：</w:t>
      </w:r>
    </w:p>
    <w:p w14:paraId="6EB946F3">
      <w:pPr>
        <w:jc w:val="center"/>
        <w:rPr>
          <w:rFonts w:eastAsia="等线"/>
        </w:rPr>
      </w:pPr>
      <w:r>
        <w:drawing>
          <wp:inline distT="0" distB="0" distL="114300" distR="114300">
            <wp:extent cx="6114415" cy="2394585"/>
            <wp:effectExtent l="0" t="0" r="635" b="5715"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等线"/>
        </w:rPr>
        <w:t xml:space="preserve"> </w:t>
      </w:r>
    </w:p>
    <w:p w14:paraId="697C7278">
      <w:pPr>
        <w:jc w:val="center"/>
        <w:rPr>
          <w:rFonts w:eastAsia="等线"/>
        </w:rPr>
      </w:pPr>
      <w:r>
        <w:drawing>
          <wp:inline distT="0" distB="0" distL="114300" distR="114300">
            <wp:extent cx="6108065" cy="2402205"/>
            <wp:effectExtent l="0" t="0" r="6985" b="17145"/>
            <wp:docPr id="3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9C5A4">
      <w:pPr>
        <w:pStyle w:val="4"/>
        <w:numPr>
          <w:ilvl w:val="0"/>
          <w:numId w:val="0"/>
        </w:numPr>
      </w:pPr>
      <w:bookmarkStart w:id="13" w:name="_Toc29056"/>
      <w:bookmarkStart w:id="14" w:name="_Toc58432276"/>
      <w:r>
        <w:rPr>
          <w:rFonts w:hint="eastAsia"/>
        </w:rPr>
        <w:t>（二）指导教师审核项目延期</w:t>
      </w:r>
      <w:bookmarkEnd w:id="13"/>
      <w:bookmarkEnd w:id="14"/>
    </w:p>
    <w:p w14:paraId="05300426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指导教师可以查看并审核所有自己所指导的项目的延期申请，点击项目列表操作字段下的“审核”按钮，进入审核页面，提交审核结论（分“审核通过”、“退回修改”</w:t>
      </w:r>
      <w:r>
        <w:rPr>
          <w:rFonts w:hint="eastAsia"/>
          <w:sz w:val="28"/>
          <w:szCs w:val="28"/>
          <w:lang w:val="en-US" w:eastAsia="zh-CN"/>
        </w:rPr>
        <w:t>和“审核不通过”</w:t>
      </w:r>
      <w:r>
        <w:rPr>
          <w:rFonts w:hint="eastAsia"/>
          <w:sz w:val="28"/>
          <w:szCs w:val="28"/>
        </w:rPr>
        <w:t>））。支持批量审核。如下图：</w:t>
      </w:r>
    </w:p>
    <w:p w14:paraId="2F221F8F">
      <w:pPr>
        <w:jc w:val="center"/>
        <w:rPr>
          <w:rFonts w:eastAsia="等线"/>
        </w:rPr>
      </w:pPr>
      <w:r>
        <w:drawing>
          <wp:inline distT="0" distB="0" distL="114300" distR="114300">
            <wp:extent cx="6115685" cy="2399030"/>
            <wp:effectExtent l="0" t="0" r="18415" b="1270"/>
            <wp:docPr id="3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118860" cy="2408555"/>
            <wp:effectExtent l="0" t="0" r="15240" b="10795"/>
            <wp:docPr id="3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等线"/>
        </w:rPr>
        <w:t xml:space="preserve"> </w:t>
      </w:r>
    </w:p>
    <w:p w14:paraId="72CAEAF2">
      <w:pPr>
        <w:pStyle w:val="3"/>
        <w:ind w:firstLine="0" w:firstLineChars="0"/>
      </w:pPr>
    </w:p>
    <w:p w14:paraId="77575532">
      <w:pPr>
        <w:pStyle w:val="4"/>
        <w:numPr>
          <w:ilvl w:val="0"/>
          <w:numId w:val="0"/>
        </w:numPr>
      </w:pPr>
      <w:bookmarkStart w:id="15" w:name="_Toc7701"/>
      <w:bookmarkStart w:id="16" w:name="_Toc58432277"/>
      <w:r>
        <w:rPr>
          <w:rFonts w:hint="eastAsia"/>
        </w:rPr>
        <w:t>（三）指导教师审核项目终止</w:t>
      </w:r>
      <w:bookmarkEnd w:id="15"/>
      <w:bookmarkEnd w:id="16"/>
    </w:p>
    <w:p w14:paraId="250AFDD1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指导教师可以查看并审核所有自己所指导的项目的终止申请，点击项目列表操作字段下的“审核”按钮，进入审核页面，提交审核结论（分“审核通过”、“退回修改”</w:t>
      </w:r>
      <w:r>
        <w:rPr>
          <w:rFonts w:hint="eastAsia"/>
          <w:sz w:val="28"/>
          <w:szCs w:val="28"/>
          <w:lang w:val="en-US" w:eastAsia="zh-CN"/>
        </w:rPr>
        <w:t>和“审核不通过”</w:t>
      </w:r>
      <w:r>
        <w:rPr>
          <w:rFonts w:hint="eastAsia"/>
          <w:sz w:val="28"/>
          <w:szCs w:val="28"/>
        </w:rPr>
        <w:t>）。支持批量审核。如下图：</w:t>
      </w:r>
    </w:p>
    <w:p w14:paraId="2950342A">
      <w:pPr>
        <w:jc w:val="center"/>
      </w:pPr>
      <w:r>
        <w:drawing>
          <wp:inline distT="0" distB="0" distL="114300" distR="114300">
            <wp:extent cx="6108065" cy="2400300"/>
            <wp:effectExtent l="0" t="0" r="6985" b="0"/>
            <wp:docPr id="3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AEB17">
      <w:pPr>
        <w:jc w:val="center"/>
      </w:pPr>
      <w:r>
        <w:drawing>
          <wp:inline distT="0" distB="0" distL="114300" distR="114300">
            <wp:extent cx="6110605" cy="2399030"/>
            <wp:effectExtent l="0" t="0" r="4445" b="1270"/>
            <wp:docPr id="3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EF680">
      <w:pPr>
        <w:pStyle w:val="2"/>
        <w:ind w:firstLine="187" w:firstLineChars="62"/>
      </w:pPr>
      <w:bookmarkStart w:id="17" w:name="_Toc47534802"/>
      <w:bookmarkStart w:id="18" w:name="_Toc2854"/>
      <w:bookmarkStart w:id="19" w:name="六、其他"/>
      <w:r>
        <w:rPr>
          <w:rFonts w:hint="eastAsia"/>
          <w:lang w:val="en-US" w:eastAsia="zh-CN"/>
        </w:rPr>
        <w:t>六</w:t>
      </w:r>
      <w:bookmarkStart w:id="26" w:name="_GoBack"/>
      <w:bookmarkEnd w:id="26"/>
      <w:r>
        <w:rPr>
          <w:rFonts w:hint="eastAsia"/>
        </w:rPr>
        <w:t>、个人中心</w:t>
      </w:r>
      <w:bookmarkEnd w:id="17"/>
      <w:bookmarkEnd w:id="18"/>
    </w:p>
    <w:p w14:paraId="70BA53C8">
      <w:pPr>
        <w:pStyle w:val="4"/>
        <w:numPr>
          <w:ilvl w:val="0"/>
          <w:numId w:val="0"/>
        </w:numPr>
      </w:pPr>
      <w:bookmarkStart w:id="20" w:name="_Toc47534803"/>
      <w:bookmarkStart w:id="21" w:name="_Toc23858"/>
      <w:r>
        <w:rPr>
          <w:rFonts w:hint="eastAsia"/>
        </w:rPr>
        <w:t>（一）通用</w:t>
      </w:r>
      <w:bookmarkEnd w:id="20"/>
      <w:bookmarkEnd w:id="21"/>
    </w:p>
    <w:p w14:paraId="28597CEE">
      <w:pPr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指导教师可查看个人信息、登录日志和操作日志，可修改密码和头像，可设置菜单侧边栏模式，可查看系统通知和帮助，如下图所示：</w:t>
      </w:r>
    </w:p>
    <w:p w14:paraId="0576B57F">
      <w:pPr>
        <w:ind w:firstLine="420" w:firstLineChars="200"/>
        <w:jc w:val="left"/>
        <w:rPr>
          <w:rFonts w:hint="eastAsia"/>
          <w:sz w:val="28"/>
          <w:szCs w:val="28"/>
        </w:rPr>
      </w:pPr>
      <w:r>
        <w:drawing>
          <wp:inline distT="0" distB="0" distL="114300" distR="114300">
            <wp:extent cx="6118860" cy="2408555"/>
            <wp:effectExtent l="0" t="0" r="15240" b="10795"/>
            <wp:docPr id="3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188EE">
      <w:pPr>
        <w:pStyle w:val="4"/>
        <w:numPr>
          <w:ilvl w:val="0"/>
          <w:numId w:val="0"/>
        </w:numPr>
      </w:pPr>
      <w:bookmarkStart w:id="22" w:name="_Toc47534804"/>
      <w:bookmarkStart w:id="23" w:name="_Toc1606"/>
      <w:r>
        <w:rPr>
          <w:rFonts w:hint="eastAsia"/>
        </w:rPr>
        <w:t>（二）站内信</w:t>
      </w:r>
      <w:bookmarkEnd w:id="22"/>
      <w:bookmarkEnd w:id="23"/>
    </w:p>
    <w:p w14:paraId="05477A7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1、收件箱</w:t>
      </w:r>
    </w:p>
    <w:p w14:paraId="27FEDF0A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指导教师可接收任何角色发送过来的信件并对其查看、回复、删除，如下图所示：</w:t>
      </w:r>
    </w:p>
    <w:p w14:paraId="32CDD838">
      <w:pPr>
        <w:jc w:val="center"/>
        <w:rPr>
          <w:rFonts w:ascii="宋体" w:hAnsi="宋体"/>
          <w:szCs w:val="21"/>
        </w:rPr>
      </w:pPr>
      <w:r>
        <w:drawing>
          <wp:inline distT="0" distB="0" distL="114300" distR="114300">
            <wp:extent cx="6115050" cy="2350135"/>
            <wp:effectExtent l="0" t="0" r="0" b="12065"/>
            <wp:docPr id="4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32A8B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、已发送</w:t>
      </w:r>
    </w:p>
    <w:p w14:paraId="3361B5AA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指导教师可查看或者删除自己发送的信件，如下图所示：</w:t>
      </w:r>
    </w:p>
    <w:p w14:paraId="0C362008">
      <w:pPr>
        <w:pStyle w:val="3"/>
        <w:ind w:firstLine="0" w:firstLineChars="0"/>
        <w:jc w:val="center"/>
      </w:pPr>
      <w:r>
        <w:drawing>
          <wp:inline distT="0" distB="0" distL="114300" distR="114300">
            <wp:extent cx="6115050" cy="2354580"/>
            <wp:effectExtent l="0" t="0" r="0" b="7620"/>
            <wp:docPr id="4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FD386">
      <w:pPr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、草稿箱</w:t>
      </w:r>
    </w:p>
    <w:p w14:paraId="5D8694D2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未发送的信件保存为草稿，指导教师可以查看修改信件并发送，或者删除草稿，如下图所示：</w:t>
      </w:r>
    </w:p>
    <w:p w14:paraId="18C0FDFA">
      <w:pPr>
        <w:pStyle w:val="3"/>
        <w:ind w:firstLine="0" w:firstLineChars="0"/>
        <w:jc w:val="center"/>
      </w:pPr>
      <w:r>
        <w:drawing>
          <wp:inline distT="0" distB="0" distL="114300" distR="114300">
            <wp:extent cx="6115050" cy="2359025"/>
            <wp:effectExtent l="0" t="0" r="0" b="3175"/>
            <wp:docPr id="4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C8210">
      <w:pPr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、回收站</w:t>
      </w:r>
    </w:p>
    <w:p w14:paraId="11F57492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删除的信件保存在回收站，指导教师可以查看信件详情，选择恢复或者删除彻底删除信件，如下图所示：</w:t>
      </w:r>
    </w:p>
    <w:p w14:paraId="768FF3FF">
      <w:pPr>
        <w:pStyle w:val="3"/>
        <w:ind w:firstLine="0" w:firstLineChars="0"/>
      </w:pPr>
      <w:r>
        <w:drawing>
          <wp:inline distT="0" distB="0" distL="114300" distR="114300">
            <wp:extent cx="6115050" cy="2350135"/>
            <wp:effectExtent l="0" t="0" r="0" b="12065"/>
            <wp:docPr id="4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14D4B">
      <w:pPr>
        <w:pStyle w:val="4"/>
        <w:numPr>
          <w:ilvl w:val="0"/>
          <w:numId w:val="0"/>
        </w:numPr>
      </w:pPr>
      <w:bookmarkStart w:id="24" w:name="_Toc11416"/>
      <w:bookmarkStart w:id="25" w:name="_Toc47534805"/>
      <w:r>
        <w:rPr>
          <w:rFonts w:hint="eastAsia"/>
        </w:rPr>
        <w:t>（三）文件中心</w:t>
      </w:r>
      <w:bookmarkEnd w:id="24"/>
      <w:bookmarkEnd w:id="25"/>
    </w:p>
    <w:p w14:paraId="2EDF8945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指导教师可以查看或者删除上传的附件、编辑框中上传的图片视频以及项目申报书、结题报告等文件，如下图所示：</w:t>
      </w:r>
    </w:p>
    <w:bookmarkEnd w:id="19"/>
    <w:p w14:paraId="63045381">
      <w:pPr>
        <w:jc w:val="center"/>
      </w:pPr>
      <w:r>
        <w:drawing>
          <wp:inline distT="0" distB="0" distL="114300" distR="114300">
            <wp:extent cx="6109335" cy="2413635"/>
            <wp:effectExtent l="0" t="0" r="5715" b="5715"/>
            <wp:docPr id="5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241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F5B64">
      <w:pPr>
        <w:jc w:val="center"/>
      </w:pPr>
    </w:p>
    <w:sectPr>
      <w:footerReference r:id="rId3" w:type="default"/>
      <w:footerReference r:id="rId4" w:type="even"/>
      <w:pgSz w:w="11906" w:h="16838"/>
      <w:pgMar w:top="1440" w:right="1134" w:bottom="1440" w:left="1134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EE46AF">
    <w:pPr>
      <w:pStyle w:val="7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separate"/>
    </w:r>
    <w:r>
      <w:rPr>
        <w:rStyle w:val="13"/>
      </w:rPr>
      <w:t>14</w:t>
    </w:r>
    <w:r>
      <w:fldChar w:fldCharType="end"/>
    </w:r>
  </w:p>
  <w:p w14:paraId="2857755B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52A9D4">
    <w:pPr>
      <w:pStyle w:val="7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end"/>
    </w:r>
  </w:p>
  <w:p w14:paraId="525494BC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B17772"/>
    <w:multiLevelType w:val="multilevel"/>
    <w:tmpl w:val="5EB17772"/>
    <w:lvl w:ilvl="0" w:tentative="0">
      <w:start w:val="1"/>
      <w:numFmt w:val="decimal"/>
      <w:pStyle w:val="22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 w:tentative="0">
      <w:start w:val="1"/>
      <w:numFmt w:val="decimal"/>
      <w:pStyle w:val="4"/>
      <w:lvlText w:val="%1.%2."/>
      <w:lvlJc w:val="left"/>
      <w:pPr>
        <w:tabs>
          <w:tab w:val="left" w:pos="567"/>
        </w:tabs>
        <w:ind w:left="567" w:hanging="142"/>
      </w:pPr>
      <w:rPr>
        <w:rFonts w:hint="eastAsia"/>
      </w:rPr>
    </w:lvl>
    <w:lvl w:ilvl="2" w:tentative="0">
      <w:start w:val="1"/>
      <w:numFmt w:val="decimal"/>
      <w:pStyle w:val="5"/>
      <w:lvlText w:val="%1.%2.%3."/>
      <w:lvlJc w:val="left"/>
      <w:pPr>
        <w:tabs>
          <w:tab w:val="left" w:pos="709"/>
        </w:tabs>
        <w:ind w:left="709" w:firstLine="142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firstLine="425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firstLine="709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firstLine="992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firstLine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firstLine="1559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firstLine="184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417"/>
    <w:rsid w:val="000179DE"/>
    <w:rsid w:val="00033C9A"/>
    <w:rsid w:val="000666F3"/>
    <w:rsid w:val="0008417B"/>
    <w:rsid w:val="00084993"/>
    <w:rsid w:val="000A112D"/>
    <w:rsid w:val="000A4181"/>
    <w:rsid w:val="000A4AE6"/>
    <w:rsid w:val="000A4E24"/>
    <w:rsid w:val="000A5C4A"/>
    <w:rsid w:val="000B31BB"/>
    <w:rsid w:val="000C62AA"/>
    <w:rsid w:val="000D1261"/>
    <w:rsid w:val="000D53E5"/>
    <w:rsid w:val="00100AFC"/>
    <w:rsid w:val="00116A73"/>
    <w:rsid w:val="00124783"/>
    <w:rsid w:val="00135639"/>
    <w:rsid w:val="001651C3"/>
    <w:rsid w:val="00172809"/>
    <w:rsid w:val="001758AC"/>
    <w:rsid w:val="00183699"/>
    <w:rsid w:val="00186A10"/>
    <w:rsid w:val="0019663B"/>
    <w:rsid w:val="001A37E9"/>
    <w:rsid w:val="001B1A43"/>
    <w:rsid w:val="001D28E6"/>
    <w:rsid w:val="00210E59"/>
    <w:rsid w:val="00226EAC"/>
    <w:rsid w:val="00242AA0"/>
    <w:rsid w:val="0025095C"/>
    <w:rsid w:val="0025341F"/>
    <w:rsid w:val="00254517"/>
    <w:rsid w:val="00274417"/>
    <w:rsid w:val="002962DD"/>
    <w:rsid w:val="002A0FC0"/>
    <w:rsid w:val="002B6C1F"/>
    <w:rsid w:val="002C13A9"/>
    <w:rsid w:val="002C1F90"/>
    <w:rsid w:val="002D266D"/>
    <w:rsid w:val="002D46DF"/>
    <w:rsid w:val="002E2A4D"/>
    <w:rsid w:val="002F1AAF"/>
    <w:rsid w:val="003022AD"/>
    <w:rsid w:val="0035400E"/>
    <w:rsid w:val="00354BD8"/>
    <w:rsid w:val="00365D15"/>
    <w:rsid w:val="0036726F"/>
    <w:rsid w:val="003868A2"/>
    <w:rsid w:val="003A5285"/>
    <w:rsid w:val="003C0DE7"/>
    <w:rsid w:val="003C6E72"/>
    <w:rsid w:val="003D385D"/>
    <w:rsid w:val="003E089C"/>
    <w:rsid w:val="003F3421"/>
    <w:rsid w:val="00401BA9"/>
    <w:rsid w:val="00430585"/>
    <w:rsid w:val="00435E20"/>
    <w:rsid w:val="00436509"/>
    <w:rsid w:val="004365F2"/>
    <w:rsid w:val="0045620F"/>
    <w:rsid w:val="00461952"/>
    <w:rsid w:val="00485344"/>
    <w:rsid w:val="004A5E74"/>
    <w:rsid w:val="004C52A6"/>
    <w:rsid w:val="004F74AD"/>
    <w:rsid w:val="00536CC2"/>
    <w:rsid w:val="005438AC"/>
    <w:rsid w:val="005518E2"/>
    <w:rsid w:val="005A678B"/>
    <w:rsid w:val="005B3BF9"/>
    <w:rsid w:val="005C4392"/>
    <w:rsid w:val="005E0BB2"/>
    <w:rsid w:val="005E1DB4"/>
    <w:rsid w:val="00612658"/>
    <w:rsid w:val="006853E3"/>
    <w:rsid w:val="006B3CEB"/>
    <w:rsid w:val="006C35DC"/>
    <w:rsid w:val="006D2CA2"/>
    <w:rsid w:val="006E2C33"/>
    <w:rsid w:val="006E479D"/>
    <w:rsid w:val="006E56D8"/>
    <w:rsid w:val="006F2AD4"/>
    <w:rsid w:val="00714F0C"/>
    <w:rsid w:val="00743948"/>
    <w:rsid w:val="007507B2"/>
    <w:rsid w:val="00750F63"/>
    <w:rsid w:val="00781537"/>
    <w:rsid w:val="00783BB1"/>
    <w:rsid w:val="0078492E"/>
    <w:rsid w:val="007862D9"/>
    <w:rsid w:val="00797E6F"/>
    <w:rsid w:val="007A08DE"/>
    <w:rsid w:val="007A5785"/>
    <w:rsid w:val="007B3B92"/>
    <w:rsid w:val="007B5102"/>
    <w:rsid w:val="007C30CB"/>
    <w:rsid w:val="007C4DDD"/>
    <w:rsid w:val="007F3AF7"/>
    <w:rsid w:val="00802E88"/>
    <w:rsid w:val="0081015D"/>
    <w:rsid w:val="008265D0"/>
    <w:rsid w:val="00833209"/>
    <w:rsid w:val="00833EE7"/>
    <w:rsid w:val="00843E42"/>
    <w:rsid w:val="00853D83"/>
    <w:rsid w:val="00887117"/>
    <w:rsid w:val="008A1CC1"/>
    <w:rsid w:val="008A614A"/>
    <w:rsid w:val="008B62AB"/>
    <w:rsid w:val="008C2372"/>
    <w:rsid w:val="008D289C"/>
    <w:rsid w:val="008D732B"/>
    <w:rsid w:val="008E1BFB"/>
    <w:rsid w:val="008F2D2C"/>
    <w:rsid w:val="008F5F8D"/>
    <w:rsid w:val="00901A9C"/>
    <w:rsid w:val="00904D30"/>
    <w:rsid w:val="00915C3A"/>
    <w:rsid w:val="00915FBD"/>
    <w:rsid w:val="00921600"/>
    <w:rsid w:val="00936417"/>
    <w:rsid w:val="009948E5"/>
    <w:rsid w:val="009D41AF"/>
    <w:rsid w:val="009E44E4"/>
    <w:rsid w:val="00A16B14"/>
    <w:rsid w:val="00A4738F"/>
    <w:rsid w:val="00A66973"/>
    <w:rsid w:val="00A752A1"/>
    <w:rsid w:val="00A972C7"/>
    <w:rsid w:val="00AB39E8"/>
    <w:rsid w:val="00AD43F6"/>
    <w:rsid w:val="00AF4733"/>
    <w:rsid w:val="00B15D16"/>
    <w:rsid w:val="00B20A74"/>
    <w:rsid w:val="00B22AA9"/>
    <w:rsid w:val="00B4084C"/>
    <w:rsid w:val="00B40F8F"/>
    <w:rsid w:val="00B51FE0"/>
    <w:rsid w:val="00B555E3"/>
    <w:rsid w:val="00B7510F"/>
    <w:rsid w:val="00B77AE1"/>
    <w:rsid w:val="00B8229D"/>
    <w:rsid w:val="00B83094"/>
    <w:rsid w:val="00B93765"/>
    <w:rsid w:val="00B93B65"/>
    <w:rsid w:val="00BC7AFC"/>
    <w:rsid w:val="00BC7D38"/>
    <w:rsid w:val="00BD3E81"/>
    <w:rsid w:val="00BE092B"/>
    <w:rsid w:val="00BE6F29"/>
    <w:rsid w:val="00C0207D"/>
    <w:rsid w:val="00C04ADC"/>
    <w:rsid w:val="00C17A32"/>
    <w:rsid w:val="00C277D1"/>
    <w:rsid w:val="00C32072"/>
    <w:rsid w:val="00C56D11"/>
    <w:rsid w:val="00C63176"/>
    <w:rsid w:val="00C87B43"/>
    <w:rsid w:val="00C94AC7"/>
    <w:rsid w:val="00CA1DB4"/>
    <w:rsid w:val="00CC2AE3"/>
    <w:rsid w:val="00CC6560"/>
    <w:rsid w:val="00CD338F"/>
    <w:rsid w:val="00D36396"/>
    <w:rsid w:val="00D3752B"/>
    <w:rsid w:val="00D44610"/>
    <w:rsid w:val="00D7559B"/>
    <w:rsid w:val="00D94686"/>
    <w:rsid w:val="00DA141C"/>
    <w:rsid w:val="00DB0DAF"/>
    <w:rsid w:val="00DC241E"/>
    <w:rsid w:val="00DD6FF3"/>
    <w:rsid w:val="00DE23F4"/>
    <w:rsid w:val="00DE2E55"/>
    <w:rsid w:val="00DF6353"/>
    <w:rsid w:val="00DF6932"/>
    <w:rsid w:val="00E23AFA"/>
    <w:rsid w:val="00E2457D"/>
    <w:rsid w:val="00E27CA4"/>
    <w:rsid w:val="00E40BCC"/>
    <w:rsid w:val="00E61E15"/>
    <w:rsid w:val="00E97F34"/>
    <w:rsid w:val="00EB747F"/>
    <w:rsid w:val="00EC1DD9"/>
    <w:rsid w:val="00EC6A73"/>
    <w:rsid w:val="00F112A9"/>
    <w:rsid w:val="00F250B8"/>
    <w:rsid w:val="00F25289"/>
    <w:rsid w:val="00F27AB8"/>
    <w:rsid w:val="00F35531"/>
    <w:rsid w:val="00F45BDD"/>
    <w:rsid w:val="00F54D7E"/>
    <w:rsid w:val="00F67A1B"/>
    <w:rsid w:val="00F97D86"/>
    <w:rsid w:val="00FA1A36"/>
    <w:rsid w:val="00FC68C1"/>
    <w:rsid w:val="00FC6B87"/>
    <w:rsid w:val="02D36DFE"/>
    <w:rsid w:val="03595555"/>
    <w:rsid w:val="040D7C57"/>
    <w:rsid w:val="049E7685"/>
    <w:rsid w:val="061A7DF9"/>
    <w:rsid w:val="0733430F"/>
    <w:rsid w:val="08D97348"/>
    <w:rsid w:val="0B037581"/>
    <w:rsid w:val="0BF027CF"/>
    <w:rsid w:val="0F5372FC"/>
    <w:rsid w:val="0FF66F8E"/>
    <w:rsid w:val="1494463F"/>
    <w:rsid w:val="15AE4D07"/>
    <w:rsid w:val="16573C5D"/>
    <w:rsid w:val="16DB0404"/>
    <w:rsid w:val="16FC296F"/>
    <w:rsid w:val="18CE3E98"/>
    <w:rsid w:val="192F2B88"/>
    <w:rsid w:val="1A127499"/>
    <w:rsid w:val="1CFA1EF9"/>
    <w:rsid w:val="1D295B40"/>
    <w:rsid w:val="1F9D444D"/>
    <w:rsid w:val="21293114"/>
    <w:rsid w:val="214E28F9"/>
    <w:rsid w:val="218D2B42"/>
    <w:rsid w:val="21C44E06"/>
    <w:rsid w:val="252E0198"/>
    <w:rsid w:val="260B672B"/>
    <w:rsid w:val="26705BD1"/>
    <w:rsid w:val="26A34BB6"/>
    <w:rsid w:val="26EC0876"/>
    <w:rsid w:val="26F408AE"/>
    <w:rsid w:val="28DC615D"/>
    <w:rsid w:val="290F2582"/>
    <w:rsid w:val="29B238F6"/>
    <w:rsid w:val="2AAC6659"/>
    <w:rsid w:val="2ABC352B"/>
    <w:rsid w:val="2D202ABC"/>
    <w:rsid w:val="2D8017AD"/>
    <w:rsid w:val="2D99461C"/>
    <w:rsid w:val="2DDA4C9A"/>
    <w:rsid w:val="2ED718A0"/>
    <w:rsid w:val="31244B45"/>
    <w:rsid w:val="32154B3D"/>
    <w:rsid w:val="321D7903"/>
    <w:rsid w:val="32A36F3E"/>
    <w:rsid w:val="32ED1980"/>
    <w:rsid w:val="33240347"/>
    <w:rsid w:val="33F20F2A"/>
    <w:rsid w:val="348C4EDB"/>
    <w:rsid w:val="362B4280"/>
    <w:rsid w:val="36687282"/>
    <w:rsid w:val="38B62526"/>
    <w:rsid w:val="390E2362"/>
    <w:rsid w:val="3B3E3D12"/>
    <w:rsid w:val="3C7B03C2"/>
    <w:rsid w:val="3D6407A3"/>
    <w:rsid w:val="3E025B80"/>
    <w:rsid w:val="3E2C44A6"/>
    <w:rsid w:val="3EB5167B"/>
    <w:rsid w:val="40796351"/>
    <w:rsid w:val="45ED2D2A"/>
    <w:rsid w:val="468E6842"/>
    <w:rsid w:val="47767A51"/>
    <w:rsid w:val="49431BB4"/>
    <w:rsid w:val="4A2819C9"/>
    <w:rsid w:val="4C1E3510"/>
    <w:rsid w:val="4E067654"/>
    <w:rsid w:val="4F343D4D"/>
    <w:rsid w:val="4F866650"/>
    <w:rsid w:val="5184720E"/>
    <w:rsid w:val="52287B99"/>
    <w:rsid w:val="53EE0095"/>
    <w:rsid w:val="5476504A"/>
    <w:rsid w:val="56715C14"/>
    <w:rsid w:val="592851C9"/>
    <w:rsid w:val="598F4BCA"/>
    <w:rsid w:val="5A156629"/>
    <w:rsid w:val="5A913B3F"/>
    <w:rsid w:val="5AA219DE"/>
    <w:rsid w:val="5B833462"/>
    <w:rsid w:val="5CA30E29"/>
    <w:rsid w:val="5F5A15AE"/>
    <w:rsid w:val="62AA0157"/>
    <w:rsid w:val="63CC66DE"/>
    <w:rsid w:val="63F67792"/>
    <w:rsid w:val="64833355"/>
    <w:rsid w:val="650E7DD6"/>
    <w:rsid w:val="66C0263F"/>
    <w:rsid w:val="677A5E8B"/>
    <w:rsid w:val="67B30601"/>
    <w:rsid w:val="6BAE515B"/>
    <w:rsid w:val="6D9C15C5"/>
    <w:rsid w:val="6DBD1686"/>
    <w:rsid w:val="6F0C1C24"/>
    <w:rsid w:val="708E3A71"/>
    <w:rsid w:val="743447F0"/>
    <w:rsid w:val="74FD05BA"/>
    <w:rsid w:val="75BE0EAF"/>
    <w:rsid w:val="77F02658"/>
    <w:rsid w:val="7A613494"/>
    <w:rsid w:val="7C6F7FEF"/>
    <w:rsid w:val="7F6E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3"/>
    <w:link w:val="23"/>
    <w:qFormat/>
    <w:uiPriority w:val="9"/>
    <w:pPr>
      <w:keepNext/>
      <w:spacing w:before="180" w:after="180" w:line="400" w:lineRule="atLeast"/>
      <w:jc w:val="left"/>
      <w:outlineLvl w:val="0"/>
    </w:pPr>
    <w:rPr>
      <w:rFonts w:ascii="等线" w:hAnsi="等线"/>
      <w:b/>
      <w:kern w:val="52"/>
      <w:sz w:val="30"/>
      <w:szCs w:val="32"/>
    </w:rPr>
  </w:style>
  <w:style w:type="paragraph" w:styleId="4">
    <w:name w:val="heading 2"/>
    <w:basedOn w:val="1"/>
    <w:next w:val="3"/>
    <w:link w:val="24"/>
    <w:qFormat/>
    <w:uiPriority w:val="9"/>
    <w:pPr>
      <w:keepNext/>
      <w:numPr>
        <w:ilvl w:val="1"/>
        <w:numId w:val="1"/>
      </w:numPr>
      <w:tabs>
        <w:tab w:val="left" w:pos="425"/>
      </w:tabs>
      <w:spacing w:line="400" w:lineRule="atLeast"/>
      <w:jc w:val="left"/>
      <w:outlineLvl w:val="1"/>
    </w:pPr>
    <w:rPr>
      <w:rFonts w:ascii="等线" w:hAnsi="等线"/>
      <w:b/>
      <w:sz w:val="28"/>
      <w:szCs w:val="28"/>
    </w:rPr>
  </w:style>
  <w:style w:type="paragraph" w:styleId="5">
    <w:name w:val="heading 3"/>
    <w:basedOn w:val="1"/>
    <w:next w:val="3"/>
    <w:link w:val="21"/>
    <w:qFormat/>
    <w:uiPriority w:val="9"/>
    <w:pPr>
      <w:keepNext/>
      <w:numPr>
        <w:ilvl w:val="2"/>
        <w:numId w:val="1"/>
      </w:numPr>
      <w:spacing w:line="300" w:lineRule="atLeast"/>
      <w:ind w:firstLine="200" w:firstLineChars="200"/>
      <w:jc w:val="left"/>
      <w:outlineLvl w:val="2"/>
    </w:pPr>
    <w:rPr>
      <w:rFonts w:ascii="等线" w:hAnsi="等线"/>
      <w:b/>
      <w:sz w:val="24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200" w:firstLineChars="200"/>
    </w:p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  <w:pPr>
      <w:spacing w:line="400" w:lineRule="atLeast"/>
      <w:ind w:firstLine="200" w:firstLineChars="200"/>
      <w:jc w:val="left"/>
    </w:pPr>
    <w:rPr>
      <w:rFonts w:ascii="等线" w:hAnsi="等线"/>
      <w:sz w:val="24"/>
      <w:szCs w:val="22"/>
    </w:rPr>
  </w:style>
  <w:style w:type="paragraph" w:styleId="10">
    <w:name w:val="toc 2"/>
    <w:basedOn w:val="1"/>
    <w:next w:val="1"/>
    <w:unhideWhenUsed/>
    <w:qFormat/>
    <w:uiPriority w:val="39"/>
    <w:pPr>
      <w:spacing w:line="400" w:lineRule="atLeast"/>
      <w:ind w:left="420" w:leftChars="200" w:firstLine="200" w:firstLineChars="200"/>
      <w:jc w:val="left"/>
    </w:pPr>
    <w:rPr>
      <w:rFonts w:ascii="等线" w:hAnsi="等线"/>
      <w:sz w:val="24"/>
      <w:szCs w:val="22"/>
    </w:rPr>
  </w:style>
  <w:style w:type="character" w:styleId="13">
    <w:name w:val="page number"/>
    <w:basedOn w:val="12"/>
    <w:qFormat/>
    <w:uiPriority w:val="0"/>
  </w:style>
  <w:style w:type="character" w:styleId="14">
    <w:name w:val="FollowedHyperlink"/>
    <w:qFormat/>
    <w:uiPriority w:val="0"/>
    <w:rPr>
      <w:color w:val="800080"/>
      <w:u w:val="single"/>
    </w:rPr>
  </w:style>
  <w:style w:type="character" w:styleId="15">
    <w:name w:val="Hyperlink"/>
    <w:qFormat/>
    <w:uiPriority w:val="99"/>
    <w:rPr>
      <w:color w:val="0000FF"/>
      <w:u w:val="single"/>
    </w:rPr>
  </w:style>
  <w:style w:type="character" w:customStyle="1" w:styleId="16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17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18">
    <w:name w:val="批注框文本 字符"/>
    <w:basedOn w:val="12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标题 1 字符"/>
    <w:basedOn w:val="1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12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1">
    <w:name w:val="标题 3 字符"/>
    <w:basedOn w:val="12"/>
    <w:link w:val="5"/>
    <w:qFormat/>
    <w:uiPriority w:val="9"/>
    <w:rPr>
      <w:rFonts w:ascii="等线" w:hAnsi="等线" w:eastAsia="宋体" w:cs="Times New Roman"/>
      <w:b/>
      <w:sz w:val="24"/>
      <w:szCs w:val="28"/>
    </w:rPr>
  </w:style>
  <w:style w:type="paragraph" w:customStyle="1" w:styleId="22">
    <w:name w:val="样式5"/>
    <w:basedOn w:val="2"/>
    <w:qFormat/>
    <w:uiPriority w:val="0"/>
    <w:pPr>
      <w:keepLines/>
      <w:numPr>
        <w:ilvl w:val="0"/>
        <w:numId w:val="1"/>
      </w:numPr>
      <w:tabs>
        <w:tab w:val="clear" w:pos="425"/>
      </w:tabs>
      <w:spacing w:before="340" w:after="330" w:line="578" w:lineRule="auto"/>
      <w:ind w:left="720" w:hanging="720"/>
      <w:jc w:val="both"/>
    </w:pPr>
    <w:rPr>
      <w:bCs/>
      <w:sz w:val="44"/>
      <w:szCs w:val="44"/>
    </w:rPr>
  </w:style>
  <w:style w:type="character" w:customStyle="1" w:styleId="23">
    <w:name w:val="标题 1 字符1"/>
    <w:link w:val="2"/>
    <w:qFormat/>
    <w:uiPriority w:val="9"/>
    <w:rPr>
      <w:rFonts w:ascii="等线" w:hAnsi="等线" w:eastAsia="宋体" w:cs="Times New Roman"/>
      <w:b/>
      <w:kern w:val="52"/>
      <w:sz w:val="30"/>
      <w:szCs w:val="32"/>
    </w:rPr>
  </w:style>
  <w:style w:type="character" w:customStyle="1" w:styleId="24">
    <w:name w:val="标题 2 字符1"/>
    <w:link w:val="4"/>
    <w:qFormat/>
    <w:uiPriority w:val="9"/>
    <w:rPr>
      <w:rFonts w:ascii="等线" w:hAnsi="等线" w:eastAsia="宋体" w:cs="Times New Roman"/>
      <w:b/>
      <w:sz w:val="28"/>
      <w:szCs w:val="28"/>
    </w:rPr>
  </w:style>
  <w:style w:type="paragraph" w:customStyle="1" w:styleId="25">
    <w:name w:val="Char"/>
    <w:basedOn w:val="1"/>
    <w:next w:val="1"/>
    <w:qFormat/>
    <w:uiPriority w:val="0"/>
    <w:pPr>
      <w:widowControl/>
      <w:spacing w:line="360" w:lineRule="auto"/>
      <w:jc w:val="left"/>
    </w:pPr>
    <w:rPr>
      <w:rFonts w:eastAsia="PMingLiU"/>
      <w:sz w:val="24"/>
      <w:szCs w:val="20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1" Type="http://schemas.openxmlformats.org/officeDocument/2006/relationships/fontTable" Target="fontTable.xml"/><Relationship Id="rId30" Type="http://schemas.openxmlformats.org/officeDocument/2006/relationships/customXml" Target="../customXml/item1.xml"/><Relationship Id="rId3" Type="http://schemas.openxmlformats.org/officeDocument/2006/relationships/footer" Target="footer1.xml"/><Relationship Id="rId29" Type="http://schemas.openxmlformats.org/officeDocument/2006/relationships/numbering" Target="numbering.xml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B2AFE-59FF-41EE-9E20-E3729EF242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12</Pages>
  <Words>2407</Words>
  <Characters>2435</Characters>
  <Lines>26</Lines>
  <Paragraphs>7</Paragraphs>
  <TotalTime>4</TotalTime>
  <ScaleCrop>false</ScaleCrop>
  <LinksUpToDate>false</LinksUpToDate>
  <CharactersWithSpaces>2505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2021-04-30T03:38:00Z</dcterms:created>
  <dc:creator>changedu</dc:creator>
  <cp:lastModifiedBy>先极袁工</cp:lastModifiedBy>
  <cp:lastPrinted>2018-12-18T03:33:00Z</cp:lastPrinted>
  <dcterms:modified xsi:type="dcterms:W3CDTF">2025-12-09T01:18:55Z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FB029B188FC04DA0A1E6849E1E720238</vt:lpwstr>
  </property>
  <property fmtid="{D5CDD505-2E9C-101B-9397-08002B2CF9AE}" pid="4" name="KSOTemplateDocerSaveRecord">
    <vt:lpwstr>eyJoZGlkIjoiMThjNjQyN2VkNTc5ODAxNzQyMDdlZTIwZDlmMTM3NmEiLCJ1c2VySWQiOiIxMTMyMTM0NzEyIn0=</vt:lpwstr>
  </property>
</Properties>
</file>